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media/image5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3"/>
        <w:ind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Материально-техническое обеспечение и оснащенность </w:t>
      </w:r>
    </w:p>
    <w:p>
      <w:pPr>
        <w:pStyle w:val="BodyTextIndent3"/>
        <w:ind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образовательного процесса</w:t>
      </w:r>
    </w:p>
    <w:p>
      <w:pPr>
        <w:pStyle w:val="BodyTextIndent3"/>
        <w:ind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BodyTextIndent3"/>
        <w:ind w:hanging="0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Сведения об оборудованных учебных кабинетах: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/>
          <w:i/>
          <w:i/>
          <w:sz w:val="28"/>
          <w:szCs w:val="28"/>
          <w:u w:val="single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Сведения о наличии в собственности или на ином законном основании оборудованных учебных кабинетов </w:t>
      </w:r>
      <w:r>
        <w:rPr>
          <w:rFonts w:eastAsia="Times New Roman" w:ascii="Times New Roman" w:hAnsi="Times New Roman"/>
          <w:i/>
          <w:sz w:val="28"/>
          <w:szCs w:val="28"/>
          <w:u w:val="single"/>
          <w:lang w:eastAsia="ru-RU"/>
        </w:rPr>
        <w:t>находятся в оперативном управлении</w:t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</w:t>
      </w:r>
      <w:r>
        <w:rPr>
          <w:rFonts w:eastAsia="Times New Roman" w:ascii="Times New Roman" w:hAnsi="Times New Roman"/>
          <w:i/>
          <w:sz w:val="28"/>
          <w:szCs w:val="28"/>
          <w:u w:val="single"/>
          <w:lang w:eastAsia="ru-RU"/>
        </w:rPr>
        <w:t>договор № 19/13 ЮФО от 23.12.2011г.</w:t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/>
          <w:sz w:val="28"/>
          <w:szCs w:val="28"/>
          <w:u w:val="single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Количество оборудованных учебных кабинетов - </w:t>
      </w:r>
      <w:r>
        <w:rPr>
          <w:rFonts w:eastAsia="Times New Roman" w:ascii="Times New Roman" w:hAnsi="Times New Roman"/>
          <w:sz w:val="28"/>
          <w:szCs w:val="28"/>
          <w:u w:val="single"/>
          <w:lang w:eastAsia="ru-RU"/>
        </w:rPr>
        <w:t>8 (восемь)</w:t>
      </w:r>
    </w:p>
    <w:tbl>
      <w:tblPr>
        <w:tblW w:w="985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16"/>
        <w:gridCol w:w="5036"/>
        <w:gridCol w:w="1769"/>
        <w:gridCol w:w="2232"/>
      </w:tblGrid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Оборудованные учебные кабинеты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Площадь  (кв. м)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посадочных мест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Кабинет ПДД     кабинет № 2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48,8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Кабинет У и ТОТС кат. «А» и «В»    кабинет № 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38,6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Кабинет У и ТОТС  кат. «С» кабинет № 6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78,1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Кабинет Основ законодательства в сфере    дорожного движения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Компьютерный класс. кабинет № 11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71,0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15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Кабинет У и ТОТС     кабинет № 13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70,6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Компьютерный класс     кабинет № 14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47,2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Кабинет Медицинской подготовки кабинет № 18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31,4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</w:tr>
      <w:tr>
        <w:trPr/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5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Кабинет кат. «Д»     кабинет № 21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51,9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</w:tbl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В наличии имеется 2 компьютерных класса по 15 посадочных мест. Для изучения ПДД и проведения школьных экзаменов.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Все кабинеты оснащены наглядными пособиями, проекторами для показа учебных фильмов и презентаций.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/>
        <w:drawing>
          <wp:inline distT="0" distB="0" distL="0" distR="0">
            <wp:extent cx="6719570" cy="3990975"/>
            <wp:effectExtent l="0" t="0" r="0" b="0"/>
            <wp:docPr id="1" name="Рисунок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29879" t="28583" r="20580" b="19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9570" cy="399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120" w:after="120"/>
        <w:ind w:left="360" w:hanging="0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120" w:after="120"/>
        <w:ind w:left="360" w:hanging="0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120" w:after="120"/>
        <w:ind w:left="360" w:hanging="0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/>
        <w:drawing>
          <wp:inline distT="0" distB="0" distL="0" distR="0">
            <wp:extent cx="6206490" cy="3811270"/>
            <wp:effectExtent l="0" t="0" r="0" b="0"/>
            <wp:docPr id="2" name="Рисунок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30474" t="27500" r="20865" b="19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3811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120" w:after="120"/>
        <w:ind w:left="360" w:hanging="0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Сведения о закрытой площадке или автодроме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Сведения о наличии в собственности или на ином законном основании закрытых площадок   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в собственности бессрочно Свидетельство № 767 от 24 июня 1992 г. Постановление Главы Администрации № 279 </w:t>
      </w:r>
      <w:r>
        <w:rPr>
          <w:rFonts w:ascii="Times New Roman" w:hAnsi="Times New Roman"/>
          <w:i/>
          <w:sz w:val="28"/>
          <w:szCs w:val="28"/>
        </w:rPr>
        <w:t>________________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spacing w:before="0" w:after="0"/>
        <w:ind w:left="360" w:hanging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(реквизиты правоустанавливающих документов, срок действия)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Размеры закрытой площадки или автодрома  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/>
          <w:i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  <w:u w:val="single"/>
        </w:rPr>
        <w:t xml:space="preserve">закрытая площадка 0,26 га. </w:t>
      </w:r>
      <w:r>
        <w:rPr>
          <w:rFonts w:ascii="Times New Roman" w:hAnsi="Times New Roman"/>
          <w:i/>
          <w:sz w:val="28"/>
          <w:szCs w:val="28"/>
        </w:rPr>
        <w:t>____________</w:t>
      </w:r>
    </w:p>
    <w:p>
      <w:pPr>
        <w:pStyle w:val="Normal"/>
        <w:spacing w:before="0" w:after="0"/>
        <w:ind w:left="36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(в соответствии с правоустанавливающими документами и итогами фактического обследования)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Наличие ровного и однородного асфальто- или цементобетонное покрытия, обеспечивающее круглогодичное функционирование на участках закрытой площадки или автодрома (в том числе автоматизированного) для первоначального обучения вождению транспортных средств, используемые для выполнения учебных (контрольных) заданий   </w:t>
      </w:r>
      <w:r>
        <w:rPr>
          <w:rFonts w:ascii="Times New Roman" w:hAnsi="Times New Roman"/>
          <w:i/>
          <w:sz w:val="28"/>
          <w:szCs w:val="28"/>
          <w:u w:val="single"/>
        </w:rPr>
        <w:t>асфальтовое покрытие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/>
          <w:i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обучения    </w:t>
      </w:r>
      <w:r>
        <w:rPr>
          <w:rFonts w:ascii="Times New Roman" w:hAnsi="Times New Roman"/>
          <w:i/>
          <w:sz w:val="28"/>
          <w:szCs w:val="28"/>
          <w:u w:val="single"/>
        </w:rPr>
        <w:t>имеется</w:t>
      </w:r>
      <w:r>
        <w:rPr>
          <w:rFonts w:ascii="Times New Roman" w:hAnsi="Times New Roman"/>
          <w:i/>
          <w:sz w:val="28"/>
          <w:szCs w:val="28"/>
        </w:rPr>
        <w:t>___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/>
          <w:i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Наличие наклонного участка (эстакады) с продольным уклоном в пределах 8–16% </w:t>
      </w:r>
      <w:r>
        <w:rPr>
          <w:rFonts w:ascii="Times New Roman" w:hAnsi="Times New Roman"/>
          <w:i/>
          <w:sz w:val="28"/>
          <w:szCs w:val="28"/>
          <w:u w:val="single"/>
        </w:rPr>
        <w:t>имеется</w:t>
      </w:r>
      <w:r>
        <w:rPr>
          <w:rFonts w:ascii="Times New Roman" w:hAnsi="Times New Roman"/>
          <w:i/>
          <w:sz w:val="28"/>
          <w:szCs w:val="28"/>
        </w:rPr>
        <w:t>___</w:t>
      </w:r>
      <w:r>
        <w:rPr>
          <w:rFonts w:ascii="Times New Roman" w:hAnsi="Times New Roman"/>
          <w:i/>
          <w:sz w:val="28"/>
          <w:szCs w:val="28"/>
          <w:u w:val="single"/>
        </w:rPr>
        <w:t>14%</w:t>
      </w:r>
      <w:r>
        <w:rPr>
          <w:rFonts w:ascii="Times New Roman" w:hAnsi="Times New Roman"/>
          <w:i/>
          <w:sz w:val="28"/>
          <w:szCs w:val="28"/>
        </w:rPr>
        <w:t>_</w:t>
      </w:r>
    </w:p>
    <w:p>
      <w:pPr>
        <w:pStyle w:val="Normal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ind w:left="360" w:hanging="0"/>
        <w:rPr>
          <w:rFonts w:ascii="Times New Roman" w:hAnsi="Times New Roman"/>
          <w:sz w:val="28"/>
          <w:szCs w:val="28"/>
        </w:rPr>
      </w:pPr>
      <w:r>
        <w:rPr/>
        <w:drawing>
          <wp:inline distT="0" distB="0" distL="0" distR="0">
            <wp:extent cx="6293485" cy="3725545"/>
            <wp:effectExtent l="0" t="0" r="0" b="0"/>
            <wp:docPr id="3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9569" t="27500" r="20707" b="201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485" cy="372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left="360" w:hanging="0"/>
        <w:rPr>
          <w:rFonts w:ascii="Times New Roman" w:hAnsi="Times New Roman"/>
          <w:i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Размеры и обустройство техническими средствами организации дорожного движения обеспечивают выполнение каждого из учебных (контрольных) заданий, предусмотренных программой обучения    </w:t>
      </w:r>
      <w:r>
        <w:rPr>
          <w:rFonts w:ascii="Times New Roman" w:hAnsi="Times New Roman"/>
          <w:i/>
          <w:sz w:val="28"/>
          <w:szCs w:val="28"/>
        </w:rPr>
        <w:t>с</w:t>
      </w:r>
      <w:r>
        <w:rPr>
          <w:rFonts w:ascii="Times New Roman" w:hAnsi="Times New Roman"/>
          <w:i/>
          <w:sz w:val="28"/>
          <w:szCs w:val="28"/>
          <w:u w:val="single"/>
        </w:rPr>
        <w:t>оответствуют</w:t>
      </w:r>
      <w:r>
        <w:rPr>
          <w:rFonts w:ascii="Times New Roman" w:hAnsi="Times New Roman"/>
          <w:i/>
          <w:sz w:val="28"/>
          <w:szCs w:val="28"/>
        </w:rPr>
        <w:t>___________________________________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Коэффициент сцепления колес транспортного средства с покрытием не ниже 0,4 </w:t>
      </w:r>
      <w:r>
        <w:rPr>
          <w:rFonts w:ascii="Times New Roman" w:hAnsi="Times New Roman"/>
          <w:i/>
          <w:sz w:val="28"/>
          <w:szCs w:val="28"/>
          <w:u w:val="single"/>
        </w:rPr>
        <w:t>соответствуют</w:t>
      </w:r>
      <w:r>
        <w:rPr>
          <w:rFonts w:ascii="Times New Roman" w:hAnsi="Times New Roman"/>
          <w:i/>
          <w:sz w:val="28"/>
          <w:szCs w:val="28"/>
        </w:rPr>
        <w:t>____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Наличие оборудования, позволяющего  разметить границы для  выполнения соответствующих заданий   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 имеется</w:t>
      </w:r>
      <w:r>
        <w:rPr>
          <w:rFonts w:ascii="Times New Roman" w:hAnsi="Times New Roman"/>
          <w:i/>
          <w:sz w:val="28"/>
          <w:szCs w:val="28"/>
        </w:rPr>
        <w:t>___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Поперечный уклон, обеспечивающий водоотвод     </w:t>
      </w:r>
      <w:r>
        <w:rPr>
          <w:rFonts w:ascii="Times New Roman" w:hAnsi="Times New Roman"/>
          <w:i/>
          <w:sz w:val="28"/>
          <w:szCs w:val="28"/>
          <w:u w:val="single"/>
        </w:rPr>
        <w:t>имеется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Продольный уклон (за исключением наклонного участка) не более 100‰    </w:t>
      </w:r>
      <w:r>
        <w:rPr>
          <w:rFonts w:ascii="Times New Roman" w:hAnsi="Times New Roman"/>
          <w:i/>
          <w:sz w:val="28"/>
          <w:szCs w:val="28"/>
          <w:u w:val="single"/>
        </w:rPr>
        <w:t>имеется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/>
          <w:i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Наличие освещенности    </w:t>
      </w:r>
      <w:r>
        <w:rPr>
          <w:rFonts w:ascii="Times New Roman" w:hAnsi="Times New Roman"/>
          <w:i/>
          <w:sz w:val="28"/>
          <w:szCs w:val="28"/>
          <w:u w:val="single"/>
        </w:rPr>
        <w:t>соответствует</w:t>
      </w:r>
    </w:p>
    <w:p>
      <w:pPr>
        <w:pStyle w:val="Normal"/>
        <w:tabs>
          <w:tab w:val="clear" w:pos="708"/>
          <w:tab w:val="right" w:pos="10205" w:leader="none"/>
        </w:tabs>
        <w:spacing w:before="0" w:after="0"/>
        <w:ind w:left="360" w:hanging="0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Наличие перекрестка (регулируемого или нерегулируемого)   </w:t>
      </w:r>
      <w:r>
        <w:rPr>
          <w:rFonts w:ascii="Times New Roman" w:hAnsi="Times New Roman"/>
          <w:i/>
          <w:sz w:val="28"/>
          <w:szCs w:val="28"/>
          <w:u w:val="single"/>
        </w:rPr>
        <w:t>имеется нерегулируемый</w:t>
      </w:r>
      <w:r>
        <w:rPr>
          <w:rFonts w:ascii="Times New Roman" w:hAnsi="Times New Roman"/>
          <w:sz w:val="28"/>
          <w:szCs w:val="28"/>
          <w:u w:val="single"/>
        </w:rPr>
        <w:tab/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Наличие пешеходного перехода    </w:t>
      </w:r>
      <w:r>
        <w:rPr>
          <w:rFonts w:ascii="Times New Roman" w:hAnsi="Times New Roman"/>
          <w:i/>
          <w:sz w:val="28"/>
          <w:szCs w:val="28"/>
          <w:u w:val="single"/>
        </w:rPr>
        <w:t>имеется</w:t>
      </w:r>
    </w:p>
    <w:p>
      <w:pPr>
        <w:pStyle w:val="Normal"/>
        <w:spacing w:before="0" w:after="0"/>
        <w:ind w:left="360" w:hanging="0"/>
        <w:rPr>
          <w:rFonts w:ascii="Times New Roman" w:hAnsi="Times New Roman"/>
          <w:i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Наличие дорожных знаков (для автодромов)  </w:t>
      </w:r>
      <w:r>
        <w:rPr>
          <w:rFonts w:ascii="Times New Roman" w:hAnsi="Times New Roman"/>
          <w:i/>
          <w:sz w:val="28"/>
          <w:szCs w:val="28"/>
          <w:u w:val="single"/>
        </w:rPr>
        <w:t>оборудован дорожными знаками , изготовленными по ГОСТу Р 52290-2004 .</w:t>
      </w:r>
      <w:r>
        <w:rPr>
          <w:rFonts w:ascii="Times New Roman" w:hAnsi="Times New Roman"/>
          <w:i/>
          <w:sz w:val="28"/>
          <w:szCs w:val="28"/>
        </w:rPr>
        <w:t xml:space="preserve"> </w:t>
      </w:r>
    </w:p>
    <w:p>
      <w:pPr>
        <w:pStyle w:val="Normal"/>
        <w:spacing w:before="0" w:after="0"/>
        <w:ind w:left="36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Наличие средств организации дорожного движения (для автодромов)    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/>
          <w:i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Наличие технических средств, позволяющих осуществлять контроль, оценку и хранение результатов выполнения учебных (контрольных) заданий в автоматизированном режиме (для автоматизированных автодромов)      </w:t>
      </w:r>
      <w:r>
        <w:rPr>
          <w:rFonts w:ascii="Times New Roman" w:hAnsi="Times New Roman"/>
          <w:i/>
          <w:sz w:val="28"/>
          <w:szCs w:val="28"/>
          <w:u w:val="single"/>
        </w:rPr>
        <w:t>нет</w:t>
      </w:r>
    </w:p>
    <w:p>
      <w:pPr>
        <w:pStyle w:val="Normal"/>
        <w:spacing w:before="0" w:after="0"/>
        <w:ind w:left="360"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Наличие утвержденных технических условий (для автоматизированных автодромов)    </w:t>
      </w:r>
      <w:r>
        <w:rPr>
          <w:rFonts w:ascii="Times New Roman" w:hAnsi="Times New Roman"/>
          <w:i/>
          <w:sz w:val="28"/>
          <w:szCs w:val="28"/>
          <w:u w:val="single"/>
        </w:rPr>
        <w:t>нет</w:t>
      </w:r>
    </w:p>
    <w:p>
      <w:pPr>
        <w:pStyle w:val="Normal"/>
        <w:spacing w:before="0" w:after="0"/>
        <w:ind w:left="360" w:hanging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Представленные сведения соответствуют требованиям, предъявляемым</w:t>
      </w:r>
    </w:p>
    <w:p>
      <w:pPr>
        <w:pStyle w:val="Normal"/>
        <w:spacing w:before="0" w:after="0"/>
        <w:ind w:left="360" w:hanging="0"/>
        <w:rPr>
          <w:rFonts w:ascii="Times New Roman" w:hAnsi="Times New Roman"/>
          <w:i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к закрытой площадке </w:t>
      </w:r>
      <w:r>
        <w:rPr>
          <w:rFonts w:ascii="Times New Roman" w:hAnsi="Times New Roman"/>
          <w:i/>
          <w:sz w:val="28"/>
          <w:szCs w:val="28"/>
        </w:rPr>
        <w:t>______________________________________________</w:t>
      </w:r>
    </w:p>
    <w:p>
      <w:pPr>
        <w:pStyle w:val="Normal"/>
        <w:spacing w:lineRule="auto" w:line="360" w:before="0" w:after="0"/>
        <w:rPr>
          <w:rFonts w:ascii="Times New Roman" w:hAnsi="Times New Roman"/>
          <w:b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Оценка  качества  библиотечно-информационного обеспечения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Имеющаяся в наличии учебная литература и учебно-наглядные пособия позволяют выполнить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28"/>
          <w:szCs w:val="28"/>
        </w:rPr>
        <w:t>подготовку по программам «А», «В», «С», «СЕ», ВУС-837, переподготовку с категории «В» на «С», переподготовку с категории «С» на «В», переподготовку с категории «С» на «</w:t>
      </w:r>
      <w:r>
        <w:rPr>
          <w:rFonts w:ascii="Times New Roman" w:hAnsi="Times New Roman"/>
          <w:sz w:val="28"/>
          <w:szCs w:val="28"/>
          <w:lang w:val="en-US"/>
        </w:rPr>
        <w:t>D</w:t>
      </w:r>
      <w:r>
        <w:rPr>
          <w:rFonts w:ascii="Times New Roman" w:hAnsi="Times New Roman"/>
          <w:sz w:val="28"/>
          <w:szCs w:val="28"/>
        </w:rPr>
        <w:t>» и ежегодные занятия с водителями автотранспортных организаций - в полном объеме.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Сведения о наличии  в собственности или на ином законном основании оборудованных учебных транспортных средств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Техника группы «А»</w:t>
      </w:r>
    </w:p>
    <w:tbl>
      <w:tblPr>
        <w:tblW w:w="58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683"/>
        <w:gridCol w:w="2052"/>
        <w:gridCol w:w="1070"/>
      </w:tblGrid>
      <w:tr>
        <w:trPr>
          <w:trHeight w:val="20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Марка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автомобильной техники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Гос. регистр. знак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выпуска</w:t>
            </w:r>
          </w:p>
        </w:tc>
      </w:tr>
      <w:tr>
        <w:trPr>
          <w:trHeight w:val="401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КамАЗ-43101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6252СК21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1999</w:t>
            </w:r>
          </w:p>
        </w:tc>
      </w:tr>
      <w:tr>
        <w:trPr>
          <w:trHeight w:val="418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КамАЗ-43118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5996КВ21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2005</w:t>
            </w:r>
          </w:p>
        </w:tc>
      </w:tr>
      <w:tr>
        <w:trPr>
          <w:trHeight w:val="401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КамАЗ-4350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6260СК21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2008</w:t>
            </w:r>
          </w:p>
        </w:tc>
      </w:tr>
      <w:tr>
        <w:trPr>
          <w:trHeight w:val="401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КамАЗ-4350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6476СК21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</w:t>
            </w:r>
          </w:p>
        </w:tc>
      </w:tr>
      <w:tr>
        <w:trPr>
          <w:trHeight w:val="200" w:hRule="atLeast"/>
        </w:trPr>
        <w:tc>
          <w:tcPr>
            <w:tcW w:w="5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 Автомобили-тренажеры</w:t>
            </w:r>
          </w:p>
        </w:tc>
      </w:tr>
      <w:tr>
        <w:trPr>
          <w:trHeight w:val="418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УРАЛ-43206-0011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0860МК22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</w:t>
            </w:r>
          </w:p>
        </w:tc>
      </w:tr>
      <w:tr>
        <w:trPr>
          <w:trHeight w:val="401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КамАЗ-5350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0858МК22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2008</w:t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/>
        <w:drawing>
          <wp:inline distT="0" distB="0" distL="0" distR="0">
            <wp:extent cx="6157595" cy="3569970"/>
            <wp:effectExtent l="0" t="0" r="0" b="0"/>
            <wp:docPr id="4" name="Рисунок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31147" t="29099" r="21512" b="220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7595" cy="3569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/>
        <w:drawing>
          <wp:inline distT="0" distB="0" distL="0" distR="0">
            <wp:extent cx="6256020" cy="3686810"/>
            <wp:effectExtent l="0" t="0" r="0" b="0"/>
            <wp:docPr id="5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30023" t="28297" r="21302" b="20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6020" cy="3686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Техника группы «Б»</w:t>
      </w:r>
    </w:p>
    <w:tbl>
      <w:tblPr>
        <w:tblW w:w="580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2683"/>
        <w:gridCol w:w="2052"/>
        <w:gridCol w:w="1070"/>
      </w:tblGrid>
      <w:tr>
        <w:trPr>
          <w:trHeight w:val="619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Марка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автомобильной техники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Гос. регистр. знак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выпуска</w:t>
            </w:r>
          </w:p>
        </w:tc>
      </w:tr>
      <w:tr>
        <w:trPr>
          <w:trHeight w:val="619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ВАЗ-211440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Р935АС 161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2008</w:t>
            </w:r>
          </w:p>
        </w:tc>
      </w:tr>
      <w:tr>
        <w:trPr>
          <w:trHeight w:val="602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ВАЗ-21144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О617АА161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</w:t>
            </w:r>
          </w:p>
        </w:tc>
      </w:tr>
      <w:tr>
        <w:trPr>
          <w:trHeight w:val="418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ВАЗ-21102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Н767СМ61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1999</w:t>
            </w:r>
          </w:p>
        </w:tc>
      </w:tr>
      <w:tr>
        <w:trPr>
          <w:trHeight w:val="602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HYUNDAI XD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Elantra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У313МА61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</w:tr>
      <w:tr>
        <w:trPr>
          <w:trHeight w:val="619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SKODA FABIA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954</w:t>
            </w:r>
            <w:r>
              <w:rPr>
                <w:rFonts w:ascii="Times New Roman" w:hAnsi="Times New Roman"/>
                <w:sz w:val="24"/>
                <w:szCs w:val="24"/>
              </w:rPr>
              <w:t>РС161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</w:tr>
      <w:tr>
        <w:trPr>
          <w:trHeight w:val="200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SKODA FABIA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Е178СН161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>
        <w:trPr>
          <w:trHeight w:val="619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Lada Granta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Т169РО161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2012</w:t>
            </w:r>
          </w:p>
        </w:tc>
      </w:tr>
      <w:tr>
        <w:trPr>
          <w:trHeight w:val="714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SKODA FABIA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Х733ТЕ161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</w:t>
            </w:r>
          </w:p>
        </w:tc>
      </w:tr>
      <w:tr>
        <w:trPr>
          <w:trHeight w:val="602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КамАЗ-5320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Е509РЕ161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</w:tr>
      <w:tr>
        <w:trPr>
          <w:trHeight w:val="619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м/а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FORD-222702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Е971 ОВ 161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2009</w:t>
            </w:r>
          </w:p>
        </w:tc>
      </w:tr>
      <w:tr>
        <w:trPr>
          <w:trHeight w:val="401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м/а ГАЗ-322132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А508НР 161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2007</w:t>
            </w:r>
          </w:p>
        </w:tc>
      </w:tr>
      <w:tr>
        <w:trPr>
          <w:trHeight w:val="552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КИА-РИО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А949СВ 161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201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>
        <w:trPr>
          <w:trHeight w:val="451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Мотоцикл    Восход-3м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О563РН61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1987</w:t>
            </w:r>
          </w:p>
        </w:tc>
      </w:tr>
      <w:tr>
        <w:trPr>
          <w:trHeight w:val="552" w:hRule="atLeast"/>
        </w:trPr>
        <w:tc>
          <w:tcPr>
            <w:tcW w:w="2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Прицеп ГКБ-817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РО116761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RUS</w:t>
            </w:r>
          </w:p>
        </w:tc>
        <w:tc>
          <w:tcPr>
            <w:tcW w:w="1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</w:tr>
    </w:tbl>
    <w:p>
      <w:pPr>
        <w:pStyle w:val="Normal"/>
        <w:spacing w:lineRule="auto" w:line="240" w:before="120" w:after="120"/>
        <w:ind w:left="360" w:hanging="0"/>
        <w:rPr>
          <w:rFonts w:ascii="Times New Roman" w:hAnsi="Times New Roman" w:eastAsia="Times New Roman"/>
          <w:b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Сведения об оборудовании и технических средствах обучения: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>
        <w:rPr>
          <w:rFonts w:ascii="Times New Roman" w:hAnsi="Times New Roman"/>
          <w:i/>
          <w:sz w:val="28"/>
          <w:szCs w:val="28"/>
          <w:u w:val="single"/>
        </w:rPr>
        <w:t>имеется</w:t>
      </w:r>
    </w:p>
    <w:p>
      <w:pPr>
        <w:pStyle w:val="Normal"/>
        <w:rPr>
          <w:rFonts w:ascii="Times New Roman" w:hAnsi="Times New Roman"/>
          <w:i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Марка, модель </w:t>
      </w:r>
      <w:r>
        <w:rPr>
          <w:rFonts w:ascii="Times New Roman" w:hAnsi="Times New Roman"/>
          <w:i/>
          <w:sz w:val="28"/>
          <w:szCs w:val="28"/>
          <w:u w:val="single"/>
        </w:rPr>
        <w:t>АПК Аналитик -Авто</w:t>
      </w:r>
      <w:r>
        <w:rPr>
          <w:rFonts w:ascii="Times New Roman" w:hAnsi="Times New Roman"/>
          <w:sz w:val="28"/>
          <w:szCs w:val="28"/>
        </w:rPr>
        <w:t xml:space="preserve">  серийный номер </w:t>
      </w:r>
      <w:r>
        <w:rPr>
          <w:rFonts w:ascii="Times New Roman" w:hAnsi="Times New Roman"/>
          <w:i/>
          <w:sz w:val="28"/>
          <w:szCs w:val="28"/>
          <w:u w:val="single"/>
        </w:rPr>
        <w:t xml:space="preserve">АА1-4067 </w:t>
      </w:r>
    </w:p>
    <w:p>
      <w:pPr>
        <w:pStyle w:val="Normal"/>
        <w:rPr>
          <w:rFonts w:ascii="Times New Roman" w:hAnsi="Times New Roman"/>
          <w:i/>
          <w:i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Производитель </w:t>
      </w:r>
      <w:r>
        <w:rPr>
          <w:rFonts w:ascii="Times New Roman" w:hAnsi="Times New Roman"/>
          <w:i/>
          <w:sz w:val="28"/>
          <w:szCs w:val="28"/>
          <w:u w:val="single"/>
        </w:rPr>
        <w:t>ООО НМЦ Аналитик г. Омск</w:t>
      </w:r>
    </w:p>
    <w:p>
      <w:pPr>
        <w:pStyle w:val="Style2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Наличие утвержденных технических условий </w:t>
      </w:r>
      <w:r>
        <w:rPr>
          <w:color w:val="000000"/>
          <w:sz w:val="28"/>
          <w:szCs w:val="28"/>
          <w:u w:val="single"/>
        </w:rPr>
        <w:t>Аппаратно-программный комплекс тестирования и развития психофизиологических качеств водителя обеспечивает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формирует навыки саморегуляции его психоэмоционального состояния в процессе управления транспортным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>
      <w:pPr>
        <w:pStyle w:val="Style28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АПК обеспечивает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 предоставляет возможности для обучения саморегуляции при наиболее часто встречающихся состояниях: эмоциональной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u w:val="single"/>
        </w:rPr>
        <w:t>напряженности, монотонии, утомлении, стрессе и тренировке свойств внимания (концентрации, распределения). Аппаратно-программный комплекс обеспечивает защиту персональных данных.</w:t>
      </w:r>
    </w:p>
    <w:p>
      <w:pPr>
        <w:pStyle w:val="Style28"/>
        <w:ind w:firstLine="708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</w:r>
    </w:p>
    <w:p>
      <w:pPr>
        <w:pStyle w:val="NormalWeb"/>
        <w:shd w:val="clear" w:color="auto" w:fill="FFFFFF"/>
        <w:spacing w:lineRule="atLeast" w:line="390" w:beforeAutospacing="0" w:before="0" w:afterAutospacing="0" w:after="195"/>
        <w:rPr>
          <w:sz w:val="28"/>
          <w:szCs w:val="28"/>
        </w:rPr>
      </w:pPr>
      <w:r>
        <w:rPr>
          <w:b/>
          <w:bCs/>
          <w:sz w:val="28"/>
          <w:szCs w:val="28"/>
        </w:rPr>
        <w:t>О доступе к информационным системам и информационно-телекоммуникационным сетям.</w:t>
      </w:r>
    </w:p>
    <w:p>
      <w:pPr>
        <w:pStyle w:val="NormalWeb"/>
        <w:shd w:val="clear" w:color="auto" w:fill="FFFFFF"/>
        <w:spacing w:lineRule="atLeast" w:line="390" w:beforeAutospacing="0" w:before="0" w:afterAutospacing="0" w:after="195"/>
        <w:rPr>
          <w:color w:val="5C5C5C"/>
          <w:sz w:val="28"/>
          <w:szCs w:val="28"/>
        </w:rPr>
      </w:pPr>
      <w:r>
        <w:rPr>
          <w:color w:val="454545"/>
          <w:sz w:val="28"/>
          <w:szCs w:val="28"/>
        </w:rPr>
        <w:t>Учебные кабинеты оснащены выходом в Интернет и объединены в локальную сеть. Обучающиеся, педагоги имеют свободный доступ к информационным системам.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Условия питания обучающихся</w:t>
      </w:r>
      <w:r>
        <w:rPr>
          <w:rFonts w:ascii="Times New Roman" w:hAnsi="Times New Roman"/>
          <w:sz w:val="28"/>
          <w:szCs w:val="28"/>
        </w:rPr>
        <w:t xml:space="preserve"> – не предусмотрены</w:t>
      </w:r>
    </w:p>
    <w:p>
      <w:pPr>
        <w:pStyle w:val="NormalWeb"/>
        <w:shd w:val="clear" w:color="auto" w:fill="FFFFFF"/>
        <w:spacing w:lineRule="atLeast" w:line="390" w:beforeAutospacing="0" w:before="0" w:afterAutospacing="0" w:after="195"/>
        <w:rPr>
          <w:color w:val="000000" w:themeColor="text1"/>
          <w:sz w:val="28"/>
          <w:szCs w:val="28"/>
        </w:rPr>
      </w:pPr>
      <w:r>
        <w:rPr>
          <w:rStyle w:val="Strong"/>
          <w:color w:val="000000" w:themeColor="text1"/>
          <w:sz w:val="28"/>
          <w:szCs w:val="28"/>
        </w:rPr>
        <w:t>В Миллеровской АШ созданы условия для инвалидов и лиц с ограниченными возможностями здоровья.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90" w:beforeAutospacing="0" w:before="0" w:afterAutospacing="0" w:after="0"/>
        <w:rPr>
          <w:color w:val="000000" w:themeColor="text1"/>
          <w:sz w:val="28"/>
          <w:szCs w:val="28"/>
        </w:rPr>
      </w:pPr>
      <w:r>
        <w:rPr>
          <w:color w:val="5C5C5C"/>
          <w:sz w:val="28"/>
          <w:szCs w:val="28"/>
        </w:rPr>
        <w:t xml:space="preserve">Вход в образовательную организацию оборудован кнопкой вызова персонала </w:t>
      </w:r>
      <w:r>
        <w:rPr>
          <w:color w:val="000000" w:themeColor="text1"/>
          <w:sz w:val="28"/>
          <w:szCs w:val="28"/>
        </w:rPr>
        <w:t>организации.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90" w:beforeAutospacing="0" w:before="0" w:afterAutospacing="0" w:after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со СНиП и СП 31-102-99 Требования доступности общественных зданий и сооружений для инвалидов и других маломобильных посетителей, кнопка установлена на высоте -0,85 до 1 м от уровня земли.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90" w:beforeAutospacing="0" w:before="0" w:afterAutospacing="0" w:after="0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Для безопасности кнопка работает под напряжением не 220, а 1,5 Вольта, чтобы персонал или человек нажимающий кнопку, не подвергался удару током.</w:t>
      </w:r>
    </w:p>
    <w:p>
      <w:pPr>
        <w:pStyle w:val="NormalWeb"/>
        <w:numPr>
          <w:ilvl w:val="0"/>
          <w:numId w:val="1"/>
        </w:numPr>
        <w:shd w:val="clear" w:color="auto" w:fill="FFFFFF"/>
        <w:spacing w:lineRule="atLeast" w:line="390" w:beforeAutospacing="0" w:before="0" w:afterAutospacing="0" w:after="195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Кнопка вызова персонала для ЛОВЗ расположена так, чтобы колясочник, подъехавший к кнопке, не перекрывал движение обычных посетителей.</w:t>
      </w:r>
    </w:p>
    <w:p>
      <w:pPr>
        <w:pStyle w:val="Normal"/>
        <w:spacing w:lineRule="auto" w:line="240" w:before="120" w:after="120"/>
        <w:rPr>
          <w:rFonts w:ascii="Times New Roman" w:hAnsi="Times New Roman" w:eastAsia="Times New Roman"/>
          <w:b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shd w:fill="FFFFFF" w:val="clear"/>
        </w:rPr>
        <w:t>Официальный сайт Учреждения в информационно-телекоммуникационной сети «Интернет» оснащен «версией для слабовидящих».</w:t>
      </w:r>
    </w:p>
    <w:sectPr>
      <w:headerReference w:type="default" r:id="rId7"/>
      <w:type w:val="nextPage"/>
      <w:pgSz w:w="11906" w:h="16838"/>
      <w:pgMar w:left="851" w:right="851" w:gutter="0" w:header="510" w:top="567" w:footer="0" w:bottom="567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2"/>
      <w:spacing w:before="0" w:after="20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9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3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5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9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1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55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4"/>
        <w:szCs w:val="24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97dea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eastAsia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сноски Знак"/>
    <w:basedOn w:val="DefaultParagraphFont"/>
    <w:uiPriority w:val="99"/>
    <w:semiHidden/>
    <w:qFormat/>
    <w:rsid w:val="00397dea"/>
    <w:rPr>
      <w:rFonts w:eastAsia="Times New Roman"/>
      <w:sz w:val="20"/>
      <w:szCs w:val="20"/>
      <w:lang w:eastAsia="ru-RU"/>
    </w:rPr>
  </w:style>
  <w:style w:type="character" w:styleId="Style15">
    <w:name w:val="Привязка сноски"/>
    <w:rPr>
      <w:vertAlign w:val="superscript"/>
    </w:rPr>
  </w:style>
  <w:style w:type="character" w:styleId="FootnoteCharacters">
    <w:name w:val="Footnote Characters"/>
    <w:uiPriority w:val="99"/>
    <w:semiHidden/>
    <w:unhideWhenUsed/>
    <w:qFormat/>
    <w:rsid w:val="00397dea"/>
    <w:rPr>
      <w:vertAlign w:val="superscript"/>
    </w:rPr>
  </w:style>
  <w:style w:type="character" w:styleId="Style16" w:customStyle="1">
    <w:name w:val="сноска Знак"/>
    <w:link w:val="Style29"/>
    <w:qFormat/>
    <w:rsid w:val="00397dea"/>
    <w:rPr>
      <w:rFonts w:eastAsia="Times New Roman"/>
      <w:sz w:val="16"/>
      <w:szCs w:val="16"/>
    </w:rPr>
  </w:style>
  <w:style w:type="character" w:styleId="Style17">
    <w:name w:val="Интернет-ссылка"/>
    <w:uiPriority w:val="99"/>
    <w:unhideWhenUsed/>
    <w:rsid w:val="00397dea"/>
    <w:rPr>
      <w:color w:val="0000FF"/>
      <w:u w:val="single"/>
    </w:rPr>
  </w:style>
  <w:style w:type="character" w:styleId="Style18" w:customStyle="1">
    <w:name w:val="Текст выноски Знак"/>
    <w:basedOn w:val="DefaultParagraphFont"/>
    <w:link w:val="BalloonText"/>
    <w:uiPriority w:val="99"/>
    <w:semiHidden/>
    <w:qFormat/>
    <w:rsid w:val="00397dea"/>
    <w:rPr>
      <w:rFonts w:ascii="Tahoma" w:hAnsi="Tahoma" w:eastAsia="Calibri"/>
      <w:sz w:val="16"/>
      <w:szCs w:val="16"/>
    </w:rPr>
  </w:style>
  <w:style w:type="character" w:styleId="Style19" w:customStyle="1">
    <w:name w:val="приложение Знак"/>
    <w:link w:val="Style30"/>
    <w:qFormat/>
    <w:rsid w:val="00397dea"/>
    <w:rPr>
      <w:rFonts w:eastAsia="Calibri"/>
      <w:sz w:val="28"/>
      <w:szCs w:val="28"/>
    </w:rPr>
  </w:style>
  <w:style w:type="character" w:styleId="3" w:customStyle="1">
    <w:name w:val="Основной текст с отступом 3 Знак"/>
    <w:basedOn w:val="DefaultParagraphFont"/>
    <w:link w:val="BodyTextIndent3"/>
    <w:qFormat/>
    <w:rsid w:val="00397dea"/>
    <w:rPr>
      <w:rFonts w:eastAsia="Calibri"/>
      <w:bCs/>
      <w:sz w:val="40"/>
      <w:szCs w:val="22"/>
    </w:rPr>
  </w:style>
  <w:style w:type="character" w:styleId="Style20" w:customStyle="1">
    <w:name w:val="Верхний колонтитул Знак"/>
    <w:basedOn w:val="DefaultParagraphFont"/>
    <w:uiPriority w:val="99"/>
    <w:qFormat/>
    <w:rsid w:val="00397dea"/>
    <w:rPr>
      <w:rFonts w:ascii="Calibri" w:hAnsi="Calibri" w:eastAsia="Calibri"/>
      <w:sz w:val="22"/>
      <w:szCs w:val="22"/>
    </w:rPr>
  </w:style>
  <w:style w:type="character" w:styleId="Style21" w:customStyle="1">
    <w:name w:val="Нижний колонтитул Знак"/>
    <w:basedOn w:val="DefaultParagraphFont"/>
    <w:uiPriority w:val="99"/>
    <w:qFormat/>
    <w:rsid w:val="00397dea"/>
    <w:rPr>
      <w:rFonts w:ascii="Calibri" w:hAnsi="Calibri" w:eastAsia="Calibri"/>
      <w:sz w:val="22"/>
      <w:szCs w:val="22"/>
    </w:rPr>
  </w:style>
  <w:style w:type="character" w:styleId="Style22">
    <w:name w:val="Посещённая гиперссылка"/>
    <w:basedOn w:val="DefaultParagraphFont"/>
    <w:uiPriority w:val="99"/>
    <w:semiHidden/>
    <w:unhideWhenUsed/>
    <w:rsid w:val="004f1e21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89586b"/>
    <w:rPr>
      <w:b/>
      <w:bCs/>
    </w:rPr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24">
    <w:name w:val="Body Text"/>
    <w:basedOn w:val="Normal"/>
    <w:pPr>
      <w:spacing w:lineRule="auto" w:line="276" w:before="0" w:after="140"/>
    </w:pPr>
    <w:rPr/>
  </w:style>
  <w:style w:type="paragraph" w:styleId="Style25">
    <w:name w:val="List"/>
    <w:basedOn w:val="Style24"/>
    <w:pPr/>
    <w:rPr>
      <w:rFonts w:cs="Arial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Style28">
    <w:name w:val="Footnote Text"/>
    <w:basedOn w:val="Normal"/>
    <w:link w:val="Style14"/>
    <w:uiPriority w:val="99"/>
    <w:semiHidden/>
    <w:unhideWhenUsed/>
    <w:rsid w:val="00397dea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397dea"/>
    <w:pPr>
      <w:spacing w:before="0" w:after="200"/>
      <w:ind w:left="720" w:hanging="0"/>
      <w:contextualSpacing/>
    </w:pPr>
    <w:rPr/>
  </w:style>
  <w:style w:type="paragraph" w:styleId="Style29" w:customStyle="1">
    <w:name w:val="сноска"/>
    <w:basedOn w:val="Style28"/>
    <w:link w:val="Style16"/>
    <w:qFormat/>
    <w:rsid w:val="00397dea"/>
    <w:pPr/>
    <w:rPr>
      <w:sz w:val="16"/>
      <w:szCs w:val="16"/>
    </w:rPr>
  </w:style>
  <w:style w:type="paragraph" w:styleId="BalloonText">
    <w:name w:val="Balloon Text"/>
    <w:basedOn w:val="Normal"/>
    <w:link w:val="Style18"/>
    <w:uiPriority w:val="99"/>
    <w:semiHidden/>
    <w:unhideWhenUsed/>
    <w:qFormat/>
    <w:rsid w:val="00397dea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Style30" w:customStyle="1">
    <w:name w:val="приложение"/>
    <w:basedOn w:val="Normal"/>
    <w:link w:val="Style19"/>
    <w:qFormat/>
    <w:rsid w:val="00397dea"/>
    <w:pPr>
      <w:spacing w:lineRule="auto" w:line="240" w:before="0" w:after="0"/>
      <w:ind w:left="5040" w:hanging="0"/>
      <w:jc w:val="center"/>
      <w:outlineLvl w:val="0"/>
    </w:pPr>
    <w:rPr>
      <w:rFonts w:ascii="Times New Roman" w:hAnsi="Times New Roman"/>
      <w:sz w:val="28"/>
      <w:szCs w:val="28"/>
    </w:rPr>
  </w:style>
  <w:style w:type="paragraph" w:styleId="BodyTextIndent3">
    <w:name w:val="Body Text Indent 3"/>
    <w:basedOn w:val="Normal"/>
    <w:link w:val="3"/>
    <w:qFormat/>
    <w:rsid w:val="00397dea"/>
    <w:pPr>
      <w:spacing w:lineRule="auto" w:line="240" w:before="0" w:after="0"/>
      <w:ind w:firstLine="709"/>
      <w:jc w:val="center"/>
    </w:pPr>
    <w:rPr>
      <w:rFonts w:ascii="Times New Roman" w:hAnsi="Times New Roman"/>
      <w:bCs/>
      <w:sz w:val="40"/>
    </w:rPr>
  </w:style>
  <w:style w:type="paragraph" w:styleId="Style31">
    <w:name w:val="Колонтитул"/>
    <w:basedOn w:val="Normal"/>
    <w:qFormat/>
    <w:pPr/>
    <w:rPr/>
  </w:style>
  <w:style w:type="paragraph" w:styleId="Style32">
    <w:name w:val="Header"/>
    <w:basedOn w:val="Normal"/>
    <w:link w:val="Style20"/>
    <w:uiPriority w:val="99"/>
    <w:unhideWhenUsed/>
    <w:rsid w:val="00397de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33">
    <w:name w:val="Footer"/>
    <w:basedOn w:val="Normal"/>
    <w:link w:val="Style21"/>
    <w:uiPriority w:val="99"/>
    <w:unhideWhenUsed/>
    <w:rsid w:val="00397de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uiPriority w:val="99"/>
    <w:semiHidden/>
    <w:unhideWhenUsed/>
    <w:qFormat/>
    <w:rsid w:val="004f1e21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397dea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header" Target="head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17968B-01FF-4BA1-A886-823BFDA9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Application>LibreOffice/7.3.2.2$Windows_X86_64 LibreOffice_project/49f2b1bff42cfccbd8f788c8dc32c1c309559be0</Application>
  <AppVersion>15.0000</AppVersion>
  <Pages>7</Pages>
  <Words>924</Words>
  <Characters>6856</Characters>
  <CharactersWithSpaces>7705</CharactersWithSpaces>
  <Paragraphs>164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2014-10-16T04:23:00Z</dcterms:created>
  <dc:creator>Пользователь</dc:creator>
  <dc:description/>
  <dc:language>ru-RU</dc:language>
  <cp:lastModifiedBy/>
  <cp:lastPrinted>2022-02-02T11:58:00Z</cp:lastPrinted>
  <dcterms:modified xsi:type="dcterms:W3CDTF">2022-04-13T22:08:59Z</dcterms:modified>
  <cp:revision>78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